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2E92D0" w14:textId="6E236B8F" w:rsidR="001955C9" w:rsidRPr="00CA2A40" w:rsidRDefault="001955C9" w:rsidP="001955C9">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sidR="008F0BAD">
        <w:rPr>
          <w:rFonts w:cs="Arial"/>
          <w:szCs w:val="22"/>
        </w:rPr>
        <w:t>5</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sidR="005A1D9C" w:rsidRPr="005A1D9C">
        <w:rPr>
          <w:szCs w:val="22"/>
        </w:rPr>
        <w:t>R4-2505586</w:t>
      </w:r>
    </w:p>
    <w:p w14:paraId="28386839" w14:textId="63496156" w:rsidR="00B924BB" w:rsidRPr="00CA2A40" w:rsidRDefault="0092372E" w:rsidP="001955C9">
      <w:pPr>
        <w:pStyle w:val="afb"/>
        <w:rPr>
          <w:rFonts w:eastAsia="宋体"/>
          <w:szCs w:val="22"/>
          <w:lang w:eastAsia="zh-CN"/>
        </w:rPr>
      </w:pPr>
      <w:r>
        <w:rPr>
          <w:rFonts w:cs="Arial"/>
          <w:szCs w:val="22"/>
        </w:rPr>
        <w:t>Malta</w:t>
      </w:r>
      <w:r w:rsidR="001955C9" w:rsidRPr="00CA2A40">
        <w:rPr>
          <w:rFonts w:cs="Arial"/>
          <w:szCs w:val="22"/>
        </w:rPr>
        <w:t xml:space="preserve">, </w:t>
      </w:r>
      <w:r>
        <w:rPr>
          <w:rFonts w:cs="Arial"/>
          <w:szCs w:val="22"/>
        </w:rPr>
        <w:t>May</w:t>
      </w:r>
      <w:r w:rsidR="00014D9F">
        <w:rPr>
          <w:rFonts w:cs="Arial"/>
          <w:szCs w:val="22"/>
        </w:rPr>
        <w:t xml:space="preserve"> </w:t>
      </w:r>
      <w:r>
        <w:rPr>
          <w:rFonts w:cs="Arial"/>
          <w:szCs w:val="22"/>
        </w:rPr>
        <w:t>19</w:t>
      </w:r>
      <w:r w:rsidR="001955C9">
        <w:rPr>
          <w:rFonts w:cs="Arial"/>
          <w:szCs w:val="22"/>
        </w:rPr>
        <w:t xml:space="preserve"> - </w:t>
      </w:r>
      <w:r>
        <w:rPr>
          <w:rFonts w:cs="Arial"/>
          <w:szCs w:val="22"/>
        </w:rPr>
        <w:t>23</w:t>
      </w:r>
      <w:r w:rsidR="001955C9" w:rsidRPr="00CA2A40">
        <w:rPr>
          <w:szCs w:val="22"/>
        </w:rPr>
        <w:t>, 202</w:t>
      </w:r>
      <w:r w:rsidR="001955C9">
        <w:rPr>
          <w:szCs w:val="22"/>
        </w:rPr>
        <w:t>5</w:t>
      </w:r>
    </w:p>
    <w:p w14:paraId="2ABD4DE5" w14:textId="5855C481" w:rsidR="00F71A33" w:rsidRPr="00CA2A40" w:rsidRDefault="00F71A33" w:rsidP="00B924BB">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6EE49DC7"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20221" w:rsidRPr="00620221">
        <w:rPr>
          <w:rFonts w:ascii="Arial" w:hAnsi="Arial" w:cs="Arial"/>
          <w:sz w:val="22"/>
          <w:szCs w:val="22"/>
        </w:rPr>
        <w:t xml:space="preserve">On </w:t>
      </w:r>
      <w:r w:rsidR="005A1D9C">
        <w:rPr>
          <w:rFonts w:ascii="Arial" w:hAnsi="Arial" w:cs="Arial"/>
          <w:sz w:val="22"/>
          <w:szCs w:val="22"/>
        </w:rPr>
        <w:t>leftover</w:t>
      </w:r>
      <w:r w:rsidR="00921115">
        <w:rPr>
          <w:rFonts w:ascii="Arial" w:hAnsi="Arial" w:cs="Arial"/>
          <w:sz w:val="22"/>
          <w:szCs w:val="22"/>
        </w:rPr>
        <w:t xml:space="preserve"> issues for 6Rx</w:t>
      </w:r>
    </w:p>
    <w:p w14:paraId="4FD55D83" w14:textId="3EC91274"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800D79">
        <w:rPr>
          <w:rFonts w:ascii="Arial" w:hAnsi="Arial" w:cs="Arial"/>
          <w:sz w:val="22"/>
          <w:szCs w:val="22"/>
        </w:rPr>
        <w:t>7</w:t>
      </w:r>
      <w:r w:rsidR="00620221" w:rsidRPr="007B5265">
        <w:rPr>
          <w:rFonts w:ascii="Arial" w:hAnsi="Arial" w:cs="Arial"/>
          <w:sz w:val="22"/>
          <w:szCs w:val="22"/>
        </w:rPr>
        <w:t>.1.</w:t>
      </w:r>
      <w:r w:rsidR="007B7C0F">
        <w:rPr>
          <w:rFonts w:ascii="Arial" w:hAnsi="Arial" w:cs="Arial"/>
          <w:sz w:val="22"/>
          <w:szCs w:val="22"/>
        </w:rPr>
        <w:t>2</w:t>
      </w:r>
      <w:r w:rsidR="00620221" w:rsidRPr="007B5265">
        <w:rPr>
          <w:rFonts w:ascii="Arial" w:hAnsi="Arial" w:cs="Arial"/>
          <w:sz w:val="22"/>
          <w:szCs w:val="22"/>
        </w:rPr>
        <w:t>.</w:t>
      </w:r>
      <w:r w:rsidR="00401F0E" w:rsidRPr="007B5265">
        <w:rPr>
          <w:rFonts w:ascii="Arial" w:hAnsi="Arial" w:cs="Arial"/>
          <w:sz w:val="22"/>
          <w:szCs w:val="22"/>
        </w:rPr>
        <w:t>3</w:t>
      </w:r>
      <w:r w:rsidR="00620221" w:rsidRPr="007B5265">
        <w:rPr>
          <w:rFonts w:ascii="Arial" w:hAnsi="Arial" w:cs="Arial"/>
          <w:sz w:val="22"/>
          <w:szCs w:val="22"/>
        </w:rPr>
        <w:t>.</w:t>
      </w:r>
      <w:r w:rsidR="007B7C0F">
        <w:rPr>
          <w:rFonts w:ascii="Arial" w:hAnsi="Arial" w:cs="Arial"/>
          <w:sz w:val="22"/>
          <w:szCs w:val="22"/>
        </w:rPr>
        <w:t>1</w:t>
      </w:r>
      <w:bookmarkStart w:id="2" w:name="_GoBack"/>
      <w:bookmarkEnd w:id="2"/>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57029D75" w:rsidR="00AB1467" w:rsidRDefault="00E11C52" w:rsidP="00AB1467">
      <w:pPr>
        <w:jc w:val="both"/>
      </w:pPr>
      <w:r>
        <w:t>During</w:t>
      </w:r>
      <w:r w:rsidR="00AB1467">
        <w:t xml:space="preserve"> RAN</w:t>
      </w:r>
      <w:r w:rsidR="009676FD">
        <w:t>4</w:t>
      </w:r>
      <w:r w:rsidR="008B6EC4">
        <w:t>#</w:t>
      </w:r>
      <w:r w:rsidR="00F72EAC">
        <w:t>1</w:t>
      </w:r>
      <w:r w:rsidR="009676FD">
        <w:t>1</w:t>
      </w:r>
      <w:r w:rsidR="005A46E4">
        <w:t>4</w:t>
      </w:r>
      <w:r w:rsidR="0092372E">
        <w:t>bis</w:t>
      </w:r>
      <w:r w:rsidR="008B6EC4">
        <w:t xml:space="preserve">, </w:t>
      </w:r>
      <w:r w:rsidR="00DF22F2">
        <w:t>following issues have been discussed</w:t>
      </w:r>
      <w:r w:rsidR="00F06EA1">
        <w:t>.</w:t>
      </w:r>
      <w:r w:rsidR="008741F1">
        <w:t xml:space="preserve"> </w:t>
      </w:r>
      <w:r w:rsidR="00DF22F2">
        <w:t xml:space="preserve">FFS points </w:t>
      </w:r>
      <w:r w:rsidR="005C335F">
        <w:t>can be found in</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25CF43ED" w14:textId="12ECBC87" w:rsidR="00E43388" w:rsidRDefault="00E43388" w:rsidP="00E43388">
            <w:pPr>
              <w:pStyle w:val="3"/>
              <w:numPr>
                <w:ilvl w:val="0"/>
                <w:numId w:val="0"/>
              </w:numPr>
              <w:ind w:left="720" w:hanging="720"/>
              <w:outlineLvl w:val="2"/>
            </w:pPr>
            <w:r>
              <w:t>General aspects of 6Rx requirements</w:t>
            </w:r>
          </w:p>
          <w:p w14:paraId="4D927DF6" w14:textId="67CD63C4" w:rsidR="00E43388" w:rsidRPr="006C1849" w:rsidRDefault="00E43388" w:rsidP="00E43388">
            <w:pPr>
              <w:spacing w:after="120"/>
              <w:rPr>
                <w:b/>
                <w:bCs/>
                <w:u w:val="single"/>
              </w:rPr>
            </w:pPr>
            <w:r>
              <w:rPr>
                <w:b/>
                <w:bCs/>
                <w:u w:val="single"/>
              </w:rPr>
              <w:t xml:space="preserve">Issue </w:t>
            </w:r>
            <w:r w:rsidRPr="006C1849">
              <w:rPr>
                <w:b/>
                <w:bCs/>
                <w:u w:val="single"/>
              </w:rPr>
              <w:t>2: FWA terminology</w:t>
            </w:r>
          </w:p>
          <w:p w14:paraId="07F71D36" w14:textId="77777777" w:rsidR="00E43388" w:rsidRPr="006C1849" w:rsidRDefault="00E43388" w:rsidP="00E43388">
            <w:pPr>
              <w:spacing w:after="120"/>
              <w:rPr>
                <w:b/>
                <w:bCs/>
              </w:rPr>
            </w:pPr>
            <w:r w:rsidRPr="006C1849">
              <w:rPr>
                <w:b/>
                <w:bCs/>
              </w:rPr>
              <w:t xml:space="preserve">Agreement: </w:t>
            </w:r>
          </w:p>
          <w:p w14:paraId="7E044887" w14:textId="5F2E6BDC" w:rsidR="00D60F80" w:rsidRPr="00E43388" w:rsidRDefault="00E43388" w:rsidP="00E43388">
            <w:pPr>
              <w:spacing w:after="120"/>
              <w:rPr>
                <w:b/>
                <w:bCs/>
              </w:rPr>
            </w:pPr>
            <w:r w:rsidRPr="006C1849">
              <w:t xml:space="preserve">Further discuss possible clarifications and improvements on the use of FWA terminology in TS 38.101-1 </w:t>
            </w:r>
          </w:p>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20724A6B" w14:textId="1C1E3AD8" w:rsidR="007E6411" w:rsidRPr="007E6411" w:rsidRDefault="00D2455D" w:rsidP="007E6411">
      <w:pPr>
        <w:pStyle w:val="2"/>
        <w:numPr>
          <w:ilvl w:val="0"/>
          <w:numId w:val="0"/>
        </w:numPr>
        <w:spacing w:after="240"/>
        <w:rPr>
          <w:rFonts w:ascii="Times New Roman" w:hAnsi="Times New Roman"/>
          <w:b/>
          <w:sz w:val="22"/>
          <w:u w:val="single"/>
        </w:rPr>
      </w:pPr>
      <w:r>
        <w:rPr>
          <w:rFonts w:ascii="Times New Roman" w:hAnsi="Times New Roman"/>
          <w:b/>
          <w:sz w:val="22"/>
          <w:u w:val="single"/>
        </w:rPr>
        <w:t>FWA terminology</w:t>
      </w:r>
    </w:p>
    <w:p w14:paraId="0A85B7D7" w14:textId="27D13128" w:rsidR="006E5AEB" w:rsidRDefault="006E5AEB" w:rsidP="00E677B1">
      <w:pPr>
        <w:jc w:val="both"/>
      </w:pPr>
      <w:r>
        <w:t xml:space="preserve">In NR specification, following </w:t>
      </w:r>
      <w:r w:rsidR="0052471B">
        <w:t xml:space="preserve">highlighted </w:t>
      </w:r>
      <w:r>
        <w:t>notes are used for 4Rx and 8Rx, respectively.</w:t>
      </w:r>
    </w:p>
    <w:tbl>
      <w:tblPr>
        <w:tblStyle w:val="af8"/>
        <w:tblW w:w="0" w:type="auto"/>
        <w:tblLook w:val="04A0" w:firstRow="1" w:lastRow="0" w:firstColumn="1" w:lastColumn="0" w:noHBand="0" w:noVBand="1"/>
      </w:tblPr>
      <w:tblGrid>
        <w:gridCol w:w="9631"/>
      </w:tblGrid>
      <w:tr w:rsidR="006E5AEB" w14:paraId="418D072A" w14:textId="77777777" w:rsidTr="006E5AEB">
        <w:tc>
          <w:tcPr>
            <w:tcW w:w="9631" w:type="dxa"/>
          </w:tcPr>
          <w:p w14:paraId="42BE1F8B" w14:textId="77777777" w:rsidR="006E5AEB" w:rsidRPr="00F9519C" w:rsidRDefault="006E5AEB" w:rsidP="006E5AEB">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89"/>
              <w:gridCol w:w="2970"/>
            </w:tblGrid>
            <w:tr w:rsidR="006E5AEB" w:rsidRPr="00F9519C" w14:paraId="6321155D" w14:textId="77777777" w:rsidTr="002A1E52">
              <w:trPr>
                <w:jc w:val="center"/>
              </w:trPr>
              <w:tc>
                <w:tcPr>
                  <w:tcW w:w="2889" w:type="dxa"/>
                </w:tcPr>
                <w:p w14:paraId="12CCEFFD" w14:textId="77777777" w:rsidR="006E5AEB" w:rsidRPr="00F9519C" w:rsidRDefault="006E5AEB" w:rsidP="006E5AEB">
                  <w:pPr>
                    <w:pStyle w:val="TAH"/>
                  </w:pPr>
                  <w:r w:rsidRPr="00F9519C">
                    <w:t>Operating band</w:t>
                  </w:r>
                </w:p>
              </w:tc>
              <w:tc>
                <w:tcPr>
                  <w:tcW w:w="2970" w:type="dxa"/>
                </w:tcPr>
                <w:p w14:paraId="5B1F843E" w14:textId="77777777" w:rsidR="006E5AEB" w:rsidRPr="00F9519C" w:rsidRDefault="006E5AEB" w:rsidP="006E5AEB">
                  <w:pPr>
                    <w:pStyle w:val="TAH"/>
                  </w:pPr>
                  <w:r w:rsidRPr="00F9519C">
                    <w:t>ΔR</w:t>
                  </w:r>
                  <w:r w:rsidRPr="00F9519C">
                    <w:rPr>
                      <w:vertAlign w:val="subscript"/>
                    </w:rPr>
                    <w:t xml:space="preserve">IB,4R </w:t>
                  </w:r>
                  <w:r w:rsidRPr="00F9519C">
                    <w:t>(dB)</w:t>
                  </w:r>
                </w:p>
              </w:tc>
            </w:tr>
            <w:tr w:rsidR="006E5AEB" w:rsidRPr="00F9519C" w14:paraId="0D95D54F" w14:textId="77777777" w:rsidTr="002A1E52">
              <w:trPr>
                <w:jc w:val="center"/>
              </w:trPr>
              <w:tc>
                <w:tcPr>
                  <w:tcW w:w="2889" w:type="dxa"/>
                  <w:vAlign w:val="center"/>
                </w:tcPr>
                <w:p w14:paraId="073D7EA2" w14:textId="77777777" w:rsidR="006E5AEB" w:rsidRPr="00F9519C" w:rsidRDefault="006E5AEB" w:rsidP="006E5AEB">
                  <w:pPr>
                    <w:pStyle w:val="TAL"/>
                  </w:pPr>
                  <w:r w:rsidRPr="00F9519C">
                    <w:rPr>
                      <w:rFonts w:hint="eastAsia"/>
                    </w:rPr>
                    <w:t xml:space="preserve">n5, </w:t>
                  </w:r>
                  <w:r w:rsidRPr="00F9519C">
                    <w:rPr>
                      <w:rFonts w:eastAsia="等线" w:hint="eastAsia"/>
                      <w:lang w:eastAsia="zh-TW"/>
                    </w:rPr>
                    <w:t xml:space="preserve">n8, </w:t>
                  </w:r>
                  <w:r w:rsidRPr="00F9519C">
                    <w:rPr>
                      <w:rFonts w:eastAsia="等线" w:hint="eastAsia"/>
                    </w:rPr>
                    <w:t>n13, n26, n28, n71, n85, n105</w:t>
                  </w:r>
                </w:p>
              </w:tc>
              <w:tc>
                <w:tcPr>
                  <w:tcW w:w="2970" w:type="dxa"/>
                  <w:vAlign w:val="center"/>
                </w:tcPr>
                <w:p w14:paraId="5D2FCB44" w14:textId="77777777" w:rsidR="006E5AEB" w:rsidRPr="00F9519C" w:rsidRDefault="006E5AEB" w:rsidP="006E5AEB">
                  <w:pPr>
                    <w:pStyle w:val="TAC"/>
                  </w:pPr>
                  <w:r w:rsidRPr="00F9519C">
                    <w:t>-2.7</w:t>
                  </w:r>
                  <w:r w:rsidRPr="00F9519C">
                    <w:rPr>
                      <w:vertAlign w:val="superscript"/>
                    </w:rPr>
                    <w:t>1</w:t>
                  </w:r>
                </w:p>
              </w:tc>
            </w:tr>
            <w:tr w:rsidR="006E5AEB" w:rsidRPr="00F9519C" w14:paraId="46ECF326" w14:textId="77777777" w:rsidTr="002A1E52">
              <w:trPr>
                <w:jc w:val="center"/>
              </w:trPr>
              <w:tc>
                <w:tcPr>
                  <w:tcW w:w="2889" w:type="dxa"/>
                  <w:vAlign w:val="center"/>
                </w:tcPr>
                <w:p w14:paraId="4824F6DD" w14:textId="77777777" w:rsidR="006E5AEB" w:rsidRPr="00F9519C" w:rsidRDefault="006E5AEB" w:rsidP="006E5AEB">
                  <w:pPr>
                    <w:pStyle w:val="TAL"/>
                  </w:pPr>
                  <w:r>
                    <w:rPr>
                      <w:lang w:val="en-US"/>
                    </w:rPr>
                    <w:t xml:space="preserve">n5, n8, </w:t>
                  </w:r>
                  <w:r>
                    <w:rPr>
                      <w:rFonts w:hint="eastAsia"/>
                      <w:lang w:val="en-US"/>
                    </w:rPr>
                    <w:t xml:space="preserve">n13, </w:t>
                  </w:r>
                  <w:r>
                    <w:rPr>
                      <w:lang w:val="en-US"/>
                    </w:rPr>
                    <w:t>n28, n71, n20, n26</w:t>
                  </w:r>
                </w:p>
              </w:tc>
              <w:tc>
                <w:tcPr>
                  <w:tcW w:w="2970" w:type="dxa"/>
                  <w:vAlign w:val="center"/>
                </w:tcPr>
                <w:p w14:paraId="4D1F5AD8" w14:textId="77777777" w:rsidR="006E5AEB" w:rsidRPr="00F9519C" w:rsidRDefault="006E5AEB" w:rsidP="006E5AEB">
                  <w:pPr>
                    <w:pStyle w:val="TAC"/>
                  </w:pPr>
                  <w:r w:rsidRPr="00F9519C">
                    <w:rPr>
                      <w:rFonts w:hint="eastAsia"/>
                    </w:rPr>
                    <w:t>-</w:t>
                  </w:r>
                  <w:r w:rsidRPr="00F9519C">
                    <w:t>2.4</w:t>
                  </w:r>
                  <w:r w:rsidRPr="00F9519C">
                    <w:rPr>
                      <w:vertAlign w:val="superscript"/>
                    </w:rPr>
                    <w:t>2</w:t>
                  </w:r>
                </w:p>
              </w:tc>
            </w:tr>
            <w:tr w:rsidR="006E5AEB" w:rsidRPr="00F9519C" w14:paraId="28257F12" w14:textId="77777777" w:rsidTr="002A1E52">
              <w:trPr>
                <w:jc w:val="center"/>
              </w:trPr>
              <w:tc>
                <w:tcPr>
                  <w:tcW w:w="2889" w:type="dxa"/>
                  <w:vAlign w:val="center"/>
                </w:tcPr>
                <w:p w14:paraId="0B38DB1D" w14:textId="77777777" w:rsidR="006E5AEB" w:rsidRPr="00F9519C" w:rsidRDefault="006E5AEB" w:rsidP="006E5AEB">
                  <w:pPr>
                    <w:pStyle w:val="TAL"/>
                  </w:pPr>
                  <w:r w:rsidRPr="00F9519C">
                    <w:t xml:space="preserve">n1, n2, n3, </w:t>
                  </w:r>
                  <w:r w:rsidRPr="00F9519C">
                    <w:rPr>
                      <w:rFonts w:hint="eastAsia"/>
                    </w:rPr>
                    <w:t xml:space="preserve">n25, </w:t>
                  </w:r>
                  <w:r w:rsidRPr="00F9519C">
                    <w:t>n30, n40, n7,</w:t>
                  </w:r>
                  <w:r w:rsidRPr="00F9519C">
                    <w:rPr>
                      <w:rFonts w:eastAsia="Calibri"/>
                    </w:rPr>
                    <w:t xml:space="preserve"> n34, n38, n39, n41, n66, n70</w:t>
                  </w:r>
                </w:p>
              </w:tc>
              <w:tc>
                <w:tcPr>
                  <w:tcW w:w="2970" w:type="dxa"/>
                  <w:vAlign w:val="center"/>
                </w:tcPr>
                <w:p w14:paraId="1F3AA700" w14:textId="77777777" w:rsidR="006E5AEB" w:rsidRPr="00F9519C" w:rsidRDefault="006E5AEB" w:rsidP="006E5AEB">
                  <w:pPr>
                    <w:pStyle w:val="TAC"/>
                  </w:pPr>
                  <w:r w:rsidRPr="00F9519C">
                    <w:t>-2.7</w:t>
                  </w:r>
                </w:p>
              </w:tc>
            </w:tr>
            <w:tr w:rsidR="006E5AEB" w:rsidRPr="00F9519C" w14:paraId="01F1AC31" w14:textId="77777777" w:rsidTr="002A1E52">
              <w:trPr>
                <w:jc w:val="center"/>
              </w:trPr>
              <w:tc>
                <w:tcPr>
                  <w:tcW w:w="2889" w:type="dxa"/>
                  <w:vAlign w:val="center"/>
                </w:tcPr>
                <w:p w14:paraId="4188A7BC" w14:textId="77777777" w:rsidR="006E5AEB" w:rsidRPr="00F9519C" w:rsidRDefault="006E5AEB" w:rsidP="006E5AEB">
                  <w:pPr>
                    <w:pStyle w:val="TAL"/>
                    <w:rPr>
                      <w:rFonts w:eastAsia="Calibri"/>
                    </w:rPr>
                  </w:pPr>
                  <w:r w:rsidRPr="00F9519C">
                    <w:rPr>
                      <w:rFonts w:eastAsia="Calibri"/>
                    </w:rPr>
                    <w:t>n48, n77, n78, n79, n104</w:t>
                  </w:r>
                </w:p>
              </w:tc>
              <w:tc>
                <w:tcPr>
                  <w:tcW w:w="2970" w:type="dxa"/>
                  <w:vAlign w:val="center"/>
                </w:tcPr>
                <w:p w14:paraId="3297BB1A" w14:textId="77777777" w:rsidR="006E5AEB" w:rsidRPr="00F9519C" w:rsidRDefault="006E5AEB" w:rsidP="006E5AEB">
                  <w:pPr>
                    <w:pStyle w:val="TAC"/>
                  </w:pPr>
                  <w:r w:rsidRPr="00F9519C">
                    <w:t>-2.2</w:t>
                  </w:r>
                </w:p>
              </w:tc>
            </w:tr>
            <w:tr w:rsidR="006E5AEB" w:rsidRPr="00F9519C" w14:paraId="65E0FC59" w14:textId="77777777" w:rsidTr="002A1E52">
              <w:trPr>
                <w:jc w:val="center"/>
              </w:trPr>
              <w:tc>
                <w:tcPr>
                  <w:tcW w:w="5859" w:type="dxa"/>
                  <w:gridSpan w:val="2"/>
                  <w:vAlign w:val="center"/>
                </w:tcPr>
                <w:p w14:paraId="2F677BD0" w14:textId="77777777" w:rsidR="006E5AEB" w:rsidRPr="00F9519C" w:rsidRDefault="006E5AEB" w:rsidP="006E5AEB">
                  <w:pPr>
                    <w:pStyle w:val="TAN"/>
                  </w:pPr>
                  <w:r w:rsidRPr="00F9519C">
                    <w:t>NOTE 1:</w:t>
                  </w:r>
                  <w:r w:rsidRPr="00F9519C">
                    <w:tab/>
                    <w:t xml:space="preserve">When 4 Rx operation is supported by </w:t>
                  </w:r>
                  <w:r w:rsidRPr="00A41B83">
                    <w:rPr>
                      <w:highlight w:val="yellow"/>
                    </w:rPr>
                    <w:t>FWA form factor</w:t>
                  </w:r>
                </w:p>
                <w:p w14:paraId="3005B441" w14:textId="77777777" w:rsidR="006E5AEB" w:rsidRPr="00F9519C" w:rsidRDefault="006E5AEB" w:rsidP="006E5AEB">
                  <w:pPr>
                    <w:pStyle w:val="TAN"/>
                  </w:pPr>
                  <w:r w:rsidRPr="00F9519C">
                    <w:t>NOTE 2:</w:t>
                  </w:r>
                  <w:r w:rsidRPr="00F9519C">
                    <w:tab/>
                    <w:t>When 4Rx operation is supported by handheld UE.</w:t>
                  </w:r>
                </w:p>
              </w:tc>
            </w:tr>
          </w:tbl>
          <w:p w14:paraId="033DE144" w14:textId="77777777" w:rsidR="006E5AEB" w:rsidRPr="00F9519C" w:rsidRDefault="006E5AEB" w:rsidP="006E5AEB"/>
          <w:p w14:paraId="77F795A3" w14:textId="77777777" w:rsidR="006E5AEB" w:rsidRPr="00F9519C" w:rsidRDefault="006E5AEB" w:rsidP="006E5AEB">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7034874C" w14:textId="77777777" w:rsidR="006E5AEB" w:rsidRPr="00F9519C" w:rsidRDefault="006E5AEB" w:rsidP="006E5AEB">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89"/>
              <w:gridCol w:w="2970"/>
            </w:tblGrid>
            <w:tr w:rsidR="006E5AEB" w:rsidRPr="00F9519C" w14:paraId="70111E9F" w14:textId="77777777" w:rsidTr="002A1E52">
              <w:trPr>
                <w:jc w:val="center"/>
              </w:trPr>
              <w:tc>
                <w:tcPr>
                  <w:tcW w:w="2889" w:type="dxa"/>
                </w:tcPr>
                <w:p w14:paraId="2A3773E9" w14:textId="77777777" w:rsidR="006E5AEB" w:rsidRPr="00F9519C" w:rsidRDefault="006E5AEB" w:rsidP="006E5AEB">
                  <w:pPr>
                    <w:pStyle w:val="TAH"/>
                  </w:pPr>
                  <w:r w:rsidRPr="00F9519C">
                    <w:t>Operating band</w:t>
                  </w:r>
                </w:p>
              </w:tc>
              <w:tc>
                <w:tcPr>
                  <w:tcW w:w="2970" w:type="dxa"/>
                </w:tcPr>
                <w:p w14:paraId="2C666A84" w14:textId="77777777" w:rsidR="006E5AEB" w:rsidRPr="00F9519C" w:rsidRDefault="006E5AEB" w:rsidP="006E5AEB">
                  <w:pPr>
                    <w:pStyle w:val="TAH"/>
                  </w:pPr>
                  <w:r w:rsidRPr="00F9519C">
                    <w:t>ΔR</w:t>
                  </w:r>
                  <w:r w:rsidRPr="00F9519C">
                    <w:rPr>
                      <w:vertAlign w:val="subscript"/>
                    </w:rPr>
                    <w:t xml:space="preserve">IB,8R </w:t>
                  </w:r>
                  <w:r w:rsidRPr="00F9519C">
                    <w:t>(dB)</w:t>
                  </w:r>
                </w:p>
              </w:tc>
            </w:tr>
            <w:tr w:rsidR="006E5AEB" w:rsidRPr="00F9519C" w14:paraId="0B3BC873" w14:textId="77777777" w:rsidTr="002A1E52">
              <w:trPr>
                <w:jc w:val="center"/>
              </w:trPr>
              <w:tc>
                <w:tcPr>
                  <w:tcW w:w="2889" w:type="dxa"/>
                  <w:vAlign w:val="center"/>
                </w:tcPr>
                <w:p w14:paraId="5BD09D57" w14:textId="77777777" w:rsidR="006E5AEB" w:rsidRPr="00F9519C" w:rsidRDefault="006E5AEB" w:rsidP="006E5AEB">
                  <w:pPr>
                    <w:pStyle w:val="TAC"/>
                  </w:pPr>
                  <w:r>
                    <w:rPr>
                      <w:rFonts w:hint="eastAsia"/>
                      <w:lang w:val="en-US"/>
                    </w:rPr>
                    <w:t xml:space="preserve">n1, n3, </w:t>
                  </w:r>
                  <w:r>
                    <w:rPr>
                      <w:lang w:val="en-US"/>
                    </w:rPr>
                    <w:t>n7</w:t>
                  </w:r>
                </w:p>
              </w:tc>
              <w:tc>
                <w:tcPr>
                  <w:tcW w:w="2970" w:type="dxa"/>
                  <w:vAlign w:val="center"/>
                </w:tcPr>
                <w:p w14:paraId="6D30FBE1" w14:textId="77777777" w:rsidR="006E5AEB" w:rsidRPr="00F9519C" w:rsidRDefault="006E5AEB" w:rsidP="006E5AEB">
                  <w:pPr>
                    <w:pStyle w:val="TAC"/>
                  </w:pPr>
                  <w:r w:rsidRPr="00F9519C">
                    <w:t>-4.5</w:t>
                  </w:r>
                </w:p>
              </w:tc>
            </w:tr>
            <w:tr w:rsidR="006E5AEB" w:rsidRPr="00F9519C" w14:paraId="411483C8" w14:textId="77777777" w:rsidTr="002A1E52">
              <w:trPr>
                <w:jc w:val="center"/>
              </w:trPr>
              <w:tc>
                <w:tcPr>
                  <w:tcW w:w="2889" w:type="dxa"/>
                  <w:vAlign w:val="center"/>
                </w:tcPr>
                <w:p w14:paraId="0F8591DD" w14:textId="77777777" w:rsidR="006E5AEB" w:rsidRPr="00F9519C" w:rsidRDefault="006E5AEB" w:rsidP="006E5AEB">
                  <w:pPr>
                    <w:pStyle w:val="TAC"/>
                  </w:pPr>
                  <w:r>
                    <w:rPr>
                      <w:rFonts w:hint="eastAsia"/>
                    </w:rPr>
                    <w:t>n34, n39,</w:t>
                  </w:r>
                  <w:r>
                    <w:rPr>
                      <w:rFonts w:hint="eastAsia"/>
                      <w:lang w:val="en-US"/>
                    </w:rPr>
                    <w:t xml:space="preserve"> </w:t>
                  </w:r>
                  <w:r>
                    <w:rPr>
                      <w:rFonts w:eastAsia="Calibri"/>
                    </w:rPr>
                    <w:t>n41</w:t>
                  </w:r>
                </w:p>
              </w:tc>
              <w:tc>
                <w:tcPr>
                  <w:tcW w:w="2970" w:type="dxa"/>
                  <w:vAlign w:val="center"/>
                </w:tcPr>
                <w:p w14:paraId="1239739A" w14:textId="77777777" w:rsidR="006E5AEB" w:rsidRPr="00F9519C" w:rsidRDefault="006E5AEB" w:rsidP="006E5AEB">
                  <w:pPr>
                    <w:pStyle w:val="TAC"/>
                  </w:pPr>
                  <w:r w:rsidRPr="00F9519C">
                    <w:t>-4.3</w:t>
                  </w:r>
                </w:p>
              </w:tc>
            </w:tr>
            <w:tr w:rsidR="006E5AEB" w:rsidRPr="00F9519C" w14:paraId="4987E6EB" w14:textId="77777777" w:rsidTr="002A1E52">
              <w:trPr>
                <w:jc w:val="center"/>
              </w:trPr>
              <w:tc>
                <w:tcPr>
                  <w:tcW w:w="2889" w:type="dxa"/>
                  <w:vAlign w:val="center"/>
                </w:tcPr>
                <w:p w14:paraId="4B106945" w14:textId="77777777" w:rsidR="006E5AEB" w:rsidRPr="00F9519C" w:rsidRDefault="006E5AEB" w:rsidP="006E5AEB">
                  <w:pPr>
                    <w:pStyle w:val="TAC"/>
                    <w:rPr>
                      <w:rFonts w:eastAsia="Calibri"/>
                    </w:rPr>
                  </w:pPr>
                  <w:r w:rsidRPr="00F9519C">
                    <w:rPr>
                      <w:rFonts w:eastAsia="Calibri"/>
                    </w:rPr>
                    <w:t>n77, n78, n79</w:t>
                  </w:r>
                </w:p>
              </w:tc>
              <w:tc>
                <w:tcPr>
                  <w:tcW w:w="2970" w:type="dxa"/>
                  <w:vAlign w:val="center"/>
                </w:tcPr>
                <w:p w14:paraId="4FA35F32" w14:textId="77777777" w:rsidR="006E5AEB" w:rsidRPr="00F9519C" w:rsidRDefault="006E5AEB" w:rsidP="006E5AEB">
                  <w:pPr>
                    <w:pStyle w:val="TAC"/>
                  </w:pPr>
                  <w:r w:rsidRPr="00F9519C">
                    <w:t>-4.0</w:t>
                  </w:r>
                </w:p>
              </w:tc>
            </w:tr>
            <w:tr w:rsidR="006E5AEB" w:rsidRPr="00F9519C" w14:paraId="46AA0246" w14:textId="77777777" w:rsidTr="002A1E52">
              <w:trPr>
                <w:jc w:val="center"/>
              </w:trPr>
              <w:tc>
                <w:tcPr>
                  <w:tcW w:w="5859" w:type="dxa"/>
                  <w:gridSpan w:val="2"/>
                  <w:vAlign w:val="center"/>
                </w:tcPr>
                <w:p w14:paraId="7DB29278" w14:textId="77777777" w:rsidR="006E5AEB" w:rsidRPr="00F9519C" w:rsidRDefault="006E5AEB" w:rsidP="006E5AEB">
                  <w:pPr>
                    <w:pStyle w:val="TAN"/>
                  </w:pPr>
                  <w:r w:rsidRPr="00F9519C">
                    <w:t>NOTE 1:</w:t>
                  </w:r>
                  <w:r w:rsidRPr="00F9519C">
                    <w:tab/>
                    <w:t xml:space="preserve">8 Rx operation is targeted for </w:t>
                  </w:r>
                  <w:r w:rsidRPr="00A41B83">
                    <w:rPr>
                      <w:highlight w:val="yellow"/>
                    </w:rPr>
                    <w:t>FWA/CPE/Vehicle/Industrial devices form factor</w:t>
                  </w:r>
                  <w:r w:rsidRPr="00F9519C">
                    <w:t>.</w:t>
                  </w:r>
                </w:p>
              </w:tc>
            </w:tr>
          </w:tbl>
          <w:p w14:paraId="27F6C916" w14:textId="77777777" w:rsidR="006E5AEB" w:rsidRDefault="006E5AEB" w:rsidP="00E677B1">
            <w:pPr>
              <w:jc w:val="both"/>
            </w:pPr>
          </w:p>
        </w:tc>
      </w:tr>
    </w:tbl>
    <w:p w14:paraId="60ABE648" w14:textId="3E2A9163" w:rsidR="0052471B" w:rsidRDefault="00BC5176" w:rsidP="00E677B1">
      <w:pPr>
        <w:jc w:val="both"/>
      </w:pPr>
      <w:r>
        <w:t xml:space="preserve">Unlike LTE spec, </w:t>
      </w:r>
      <w:r w:rsidR="0052471B">
        <w:t xml:space="preserve">there is </w:t>
      </w:r>
      <w:r>
        <w:t xml:space="preserve">only </w:t>
      </w:r>
      <w:r w:rsidR="0052471B">
        <w:t>FWA defined in TS 38.101-1</w:t>
      </w:r>
      <w:r>
        <w:t xml:space="preserve"> but</w:t>
      </w:r>
      <w:r w:rsidR="0052471B">
        <w:t xml:space="preserve"> no CPE. So in last meeting proponent proposed to align the wording for disambiguation. From our understanding, such clarification might be harmless due to following reasons:</w:t>
      </w:r>
    </w:p>
    <w:p w14:paraId="70D42423" w14:textId="51B62B5D" w:rsidR="00B9616F" w:rsidRDefault="0052471B" w:rsidP="00667898">
      <w:pPr>
        <w:pStyle w:val="aff6"/>
        <w:numPr>
          <w:ilvl w:val="0"/>
          <w:numId w:val="14"/>
        </w:numPr>
        <w:ind w:firstLineChars="0"/>
        <w:rPr>
          <w:rFonts w:ascii="Times New Roman" w:hAnsi="Times New Roman"/>
          <w:kern w:val="0"/>
          <w:sz w:val="20"/>
          <w:szCs w:val="20"/>
          <w:lang w:val="en-GB" w:eastAsia="zh-CN"/>
        </w:rPr>
      </w:pPr>
      <w:r w:rsidRPr="0052471B">
        <w:rPr>
          <w:rFonts w:ascii="Times New Roman" w:hAnsi="Times New Roman"/>
          <w:kern w:val="0"/>
          <w:sz w:val="20"/>
          <w:szCs w:val="20"/>
          <w:lang w:val="en-GB" w:eastAsia="zh-CN"/>
        </w:rPr>
        <w:t>The intention for having those notes is to distinguish the REFSENS requirements between handheld and non-</w:t>
      </w:r>
      <w:r w:rsidRPr="0052471B">
        <w:rPr>
          <w:rFonts w:ascii="Times New Roman" w:hAnsi="Times New Roman"/>
          <w:kern w:val="0"/>
          <w:sz w:val="20"/>
          <w:szCs w:val="20"/>
          <w:lang w:val="en-GB" w:eastAsia="zh-CN"/>
        </w:rPr>
        <w:lastRenderedPageBreak/>
        <w:t>handheld</w:t>
      </w:r>
      <w:r w:rsidR="00B9616F">
        <w:rPr>
          <w:rFonts w:ascii="Times New Roman" w:hAnsi="Times New Roman"/>
          <w:kern w:val="0"/>
          <w:sz w:val="20"/>
          <w:szCs w:val="20"/>
          <w:lang w:val="en-GB" w:eastAsia="zh-CN"/>
        </w:rPr>
        <w:t xml:space="preserve"> UE and</w:t>
      </w:r>
      <w:r w:rsidRPr="0052471B">
        <w:rPr>
          <w:rFonts w:ascii="Times New Roman" w:hAnsi="Times New Roman"/>
          <w:kern w:val="0"/>
          <w:sz w:val="20"/>
          <w:szCs w:val="20"/>
          <w:lang w:val="en-GB" w:eastAsia="zh-CN"/>
        </w:rPr>
        <w:t xml:space="preserve"> there seems no </w:t>
      </w:r>
      <w:r w:rsidR="00B9616F">
        <w:rPr>
          <w:rFonts w:ascii="Times New Roman" w:hAnsi="Times New Roman"/>
          <w:kern w:val="0"/>
          <w:sz w:val="20"/>
          <w:szCs w:val="20"/>
          <w:lang w:val="en-GB" w:eastAsia="zh-CN"/>
        </w:rPr>
        <w:t>reason to have another requirement just for CPE.</w:t>
      </w:r>
    </w:p>
    <w:p w14:paraId="79220A09" w14:textId="7F2D226C" w:rsidR="006E5AEB" w:rsidRPr="0052471B" w:rsidRDefault="00B9616F" w:rsidP="00667898">
      <w:pPr>
        <w:pStyle w:val="aff6"/>
        <w:numPr>
          <w:ilvl w:val="0"/>
          <w:numId w:val="1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In FWA, traffic is maintained </w:t>
      </w:r>
      <w:r w:rsidRPr="00B9616F">
        <w:rPr>
          <w:rFonts w:ascii="Times New Roman" w:hAnsi="Times New Roman"/>
          <w:kern w:val="0"/>
          <w:sz w:val="20"/>
          <w:szCs w:val="20"/>
          <w:lang w:val="en-GB" w:eastAsia="zh-CN"/>
        </w:rPr>
        <w:t>between the base station and the antenna of the Customer Premises Equipment (CPE</w:t>
      </w:r>
      <w:r>
        <w:rPr>
          <w:rFonts w:ascii="Times New Roman" w:hAnsi="Times New Roman"/>
          <w:kern w:val="0"/>
          <w:sz w:val="20"/>
          <w:szCs w:val="20"/>
          <w:lang w:val="en-GB" w:eastAsia="zh-CN"/>
        </w:rPr>
        <w:t>, as defined in TS 36.101</w:t>
      </w:r>
      <w:r w:rsidRPr="00B9616F">
        <w:rPr>
          <w:rFonts w:ascii="Times New Roman" w:hAnsi="Times New Roman"/>
          <w:kern w:val="0"/>
          <w:sz w:val="20"/>
          <w:szCs w:val="20"/>
          <w:lang w:val="en-GB" w:eastAsia="zh-CN"/>
        </w:rPr>
        <w:t xml:space="preserve">) device mounted either inside or outside the </w:t>
      </w:r>
      <w:r>
        <w:rPr>
          <w:rFonts w:ascii="Times New Roman" w:hAnsi="Times New Roman"/>
          <w:kern w:val="0"/>
          <w:sz w:val="20"/>
          <w:szCs w:val="20"/>
          <w:lang w:val="en-GB" w:eastAsia="zh-CN"/>
        </w:rPr>
        <w:t>building</w:t>
      </w:r>
      <w:r w:rsidRPr="00B9616F">
        <w:rPr>
          <w:rFonts w:ascii="Times New Roman" w:hAnsi="Times New Roman"/>
          <w:kern w:val="0"/>
          <w:sz w:val="20"/>
          <w:szCs w:val="20"/>
          <w:lang w:val="en-GB" w:eastAsia="zh-CN"/>
        </w:rPr>
        <w:t>.</w:t>
      </w:r>
      <w:r>
        <w:rPr>
          <w:rFonts w:ascii="Times New Roman" w:hAnsi="Times New Roman"/>
          <w:kern w:val="0"/>
          <w:sz w:val="20"/>
          <w:szCs w:val="20"/>
          <w:lang w:val="en-GB" w:eastAsia="zh-CN"/>
        </w:rPr>
        <w:t xml:space="preserve"> Hence, CPE is more like a specific component of the whole FWA system.</w:t>
      </w:r>
      <w:r w:rsidR="0052471B" w:rsidRPr="0052471B">
        <w:rPr>
          <w:rFonts w:ascii="Times New Roman" w:hAnsi="Times New Roman"/>
          <w:kern w:val="0"/>
          <w:sz w:val="20"/>
          <w:szCs w:val="20"/>
          <w:lang w:val="en-GB" w:eastAsia="zh-CN"/>
        </w:rPr>
        <w:t xml:space="preserve">  </w:t>
      </w:r>
    </w:p>
    <w:p w14:paraId="46EA6708" w14:textId="75DD33FE" w:rsidR="006E5AEB" w:rsidRDefault="00B9616F" w:rsidP="00E677B1">
      <w:pPr>
        <w:jc w:val="both"/>
      </w:pPr>
      <w:r>
        <w:t>In conclusion, we have the following proposal</w:t>
      </w:r>
      <w:r w:rsidR="004C23CC">
        <w:t>s</w:t>
      </w:r>
      <w:r>
        <w:t>.</w:t>
      </w:r>
    </w:p>
    <w:p w14:paraId="339DA262" w14:textId="759C4A92" w:rsidR="004C23CC" w:rsidRDefault="00B9616F" w:rsidP="007E6411">
      <w:pPr>
        <w:jc w:val="both"/>
        <w:rPr>
          <w:b/>
          <w:i/>
        </w:rPr>
      </w:pPr>
      <w:r>
        <w:rPr>
          <w:b/>
          <w:i/>
        </w:rPr>
        <w:t>Proposal</w:t>
      </w:r>
      <w:r w:rsidR="004C23CC">
        <w:rPr>
          <w:b/>
          <w:i/>
        </w:rPr>
        <w:t xml:space="preserve"> 1</w:t>
      </w:r>
      <w:r w:rsidR="00AD1E30">
        <w:rPr>
          <w:b/>
          <w:i/>
        </w:rPr>
        <w:t xml:space="preserve">: </w:t>
      </w:r>
      <w:r w:rsidR="00B832CC">
        <w:rPr>
          <w:b/>
          <w:i/>
        </w:rPr>
        <w:t>Suggest RAN4 to clarify whether “</w:t>
      </w:r>
      <w:r w:rsidR="00B832CC" w:rsidRPr="00B832CC">
        <w:rPr>
          <w:b/>
          <w:i/>
        </w:rPr>
        <w:t>FWA form factor</w:t>
      </w:r>
      <w:r w:rsidR="00B832CC">
        <w:rPr>
          <w:b/>
          <w:i/>
        </w:rPr>
        <w:t>” and “</w:t>
      </w:r>
      <w:r w:rsidR="00B832CC" w:rsidRPr="00B832CC">
        <w:rPr>
          <w:b/>
          <w:i/>
        </w:rPr>
        <w:t>FWA/CPE/Vehicle/Industrial devices form factor</w:t>
      </w:r>
      <w:r w:rsidR="00B832CC">
        <w:rPr>
          <w:b/>
          <w:i/>
        </w:rPr>
        <w:t>” have identical interpretation from RF requirement perspective.</w:t>
      </w:r>
    </w:p>
    <w:p w14:paraId="50AD2DE5" w14:textId="726D2F85" w:rsidR="004C23CC" w:rsidRDefault="004C23CC" w:rsidP="007E6411">
      <w:pPr>
        <w:jc w:val="both"/>
        <w:rPr>
          <w:b/>
          <w:i/>
        </w:rPr>
      </w:pPr>
      <w:r>
        <w:rPr>
          <w:b/>
          <w:i/>
        </w:rPr>
        <w:t xml:space="preserve">Proposal 2: </w:t>
      </w:r>
      <w:r w:rsidR="00D94233">
        <w:rPr>
          <w:b/>
          <w:i/>
        </w:rPr>
        <w:t>RAN4 considers following two alternatives for better specification clarity.</w:t>
      </w:r>
    </w:p>
    <w:p w14:paraId="50EC904B" w14:textId="1BB9EEDE" w:rsidR="00D94233" w:rsidRPr="00D94233" w:rsidRDefault="00D94233" w:rsidP="00667898">
      <w:pPr>
        <w:pStyle w:val="aff6"/>
        <w:numPr>
          <w:ilvl w:val="0"/>
          <w:numId w:val="15"/>
        </w:numPr>
        <w:ind w:firstLineChars="0"/>
        <w:rPr>
          <w:rFonts w:ascii="Times New Roman" w:hAnsi="Times New Roman"/>
          <w:b/>
          <w:i/>
          <w:kern w:val="0"/>
          <w:sz w:val="20"/>
          <w:szCs w:val="20"/>
          <w:lang w:val="en-GB" w:eastAsia="zh-CN"/>
        </w:rPr>
      </w:pPr>
      <w:r w:rsidRPr="00D94233">
        <w:rPr>
          <w:rFonts w:ascii="Times New Roman" w:hAnsi="Times New Roman"/>
          <w:b/>
          <w:i/>
          <w:kern w:val="0"/>
          <w:sz w:val="20"/>
          <w:szCs w:val="20"/>
          <w:lang w:val="en-GB" w:eastAsia="zh-CN"/>
        </w:rPr>
        <w:t xml:space="preserve">Alt 1. Unify the wording as “FWA form factor” if no disagreement. </w:t>
      </w:r>
    </w:p>
    <w:p w14:paraId="6031CB8D" w14:textId="2C712300" w:rsidR="00AD1E30" w:rsidRPr="00D94233" w:rsidRDefault="00D94233" w:rsidP="00667898">
      <w:pPr>
        <w:pStyle w:val="aff6"/>
        <w:numPr>
          <w:ilvl w:val="0"/>
          <w:numId w:val="15"/>
        </w:numPr>
        <w:ind w:firstLineChars="0"/>
        <w:rPr>
          <w:rFonts w:ascii="Times New Roman" w:hAnsi="Times New Roman"/>
          <w:b/>
          <w:i/>
          <w:kern w:val="0"/>
          <w:sz w:val="20"/>
          <w:szCs w:val="20"/>
          <w:lang w:val="en-GB" w:eastAsia="zh-CN"/>
        </w:rPr>
      </w:pPr>
      <w:r w:rsidRPr="00D94233">
        <w:rPr>
          <w:rFonts w:ascii="Times New Roman" w:hAnsi="Times New Roman"/>
          <w:b/>
          <w:i/>
          <w:kern w:val="0"/>
          <w:sz w:val="20"/>
          <w:szCs w:val="20"/>
          <w:lang w:val="en-GB" w:eastAsia="zh-CN"/>
        </w:rPr>
        <w:t xml:space="preserve">Alt 2. No need to unify the spec language but reproduce the definition of CPE from LTE spec.  </w:t>
      </w:r>
    </w:p>
    <w:p w14:paraId="6CC93D2B" w14:textId="27D4DCE0" w:rsidR="00AD1E30" w:rsidRPr="00B832CC" w:rsidRDefault="00B832CC" w:rsidP="00667898">
      <w:pPr>
        <w:pStyle w:val="aff6"/>
        <w:numPr>
          <w:ilvl w:val="0"/>
          <w:numId w:val="1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CPE, </w:t>
      </w:r>
      <w:r w:rsidRPr="00B832CC">
        <w:rPr>
          <w:rFonts w:ascii="Times New Roman" w:hAnsi="Times New Roman"/>
          <w:b/>
          <w:i/>
          <w:kern w:val="0"/>
          <w:sz w:val="20"/>
          <w:szCs w:val="20"/>
          <w:lang w:val="en-GB" w:eastAsia="zh-CN"/>
        </w:rPr>
        <w:t>Customer Premises Equipment</w:t>
      </w:r>
      <w:r>
        <w:rPr>
          <w:rFonts w:ascii="Times New Roman" w:hAnsi="Times New Roman"/>
          <w:b/>
          <w:i/>
          <w:kern w:val="0"/>
          <w:sz w:val="20"/>
          <w:szCs w:val="20"/>
          <w:lang w:val="en-GB" w:eastAsia="zh-CN"/>
        </w:rPr>
        <w:t>.</w:t>
      </w:r>
      <w:r w:rsidRPr="00B832CC">
        <w:rPr>
          <w:rFonts w:ascii="Times New Roman" w:hAnsi="Times New Roman"/>
          <w:b/>
          <w:i/>
          <w:kern w:val="0"/>
          <w:sz w:val="20"/>
          <w:szCs w:val="20"/>
          <w:lang w:val="en-GB" w:eastAsia="zh-CN"/>
        </w:rPr>
        <w:t xml:space="preserve"> </w:t>
      </w:r>
    </w:p>
    <w:p w14:paraId="55C7C252" w14:textId="715ACF1D" w:rsidR="001312FF" w:rsidRDefault="00CD3846" w:rsidP="007E6411">
      <w:pPr>
        <w:jc w:val="both"/>
      </w:pPr>
      <w:r>
        <w:rPr>
          <w:b/>
          <w:i/>
        </w:rPr>
        <w:t xml:space="preserve">  </w:t>
      </w:r>
    </w:p>
    <w:p w14:paraId="4FE7E8F2" w14:textId="77777777" w:rsidR="00D9184B" w:rsidRPr="008575B1" w:rsidRDefault="00D9184B"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5E8A608D"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B9616F">
        <w:t>remaining issues of 6Rx</w:t>
      </w:r>
      <w:r w:rsidR="007265B2">
        <w:t>.</w:t>
      </w:r>
      <w:r w:rsidRPr="00086BFD">
        <w:t xml:space="preserve"> </w:t>
      </w:r>
      <w:r w:rsidR="00796C4E">
        <w:t>W</w:t>
      </w:r>
      <w:r w:rsidRPr="00086BFD">
        <w:t>e have the following</w:t>
      </w:r>
      <w:r w:rsidR="00FB341C">
        <w:t xml:space="preserve"> </w:t>
      </w:r>
      <w:r w:rsidRPr="00086BFD">
        <w:t>proposal</w:t>
      </w:r>
      <w:r w:rsidR="00D94233">
        <w:t>s</w:t>
      </w:r>
      <w:r w:rsidRPr="00086BFD">
        <w:t>:</w:t>
      </w:r>
      <w:r w:rsidRPr="00671A68">
        <w:rPr>
          <w:rFonts w:hint="eastAsia"/>
          <w:b/>
          <w:i/>
          <w:lang w:val="en-US"/>
        </w:rPr>
        <w:t xml:space="preserve"> </w:t>
      </w:r>
    </w:p>
    <w:p w14:paraId="126C5318" w14:textId="77777777" w:rsidR="00D94233" w:rsidRDefault="00D94233" w:rsidP="00D94233">
      <w:pPr>
        <w:jc w:val="both"/>
        <w:rPr>
          <w:b/>
          <w:i/>
        </w:rPr>
      </w:pPr>
      <w:r>
        <w:rPr>
          <w:b/>
          <w:i/>
        </w:rPr>
        <w:t>Proposal 1: Suggest RAN4 to clarify whether “</w:t>
      </w:r>
      <w:r w:rsidRPr="00B832CC">
        <w:rPr>
          <w:b/>
          <w:i/>
        </w:rPr>
        <w:t>FWA form factor</w:t>
      </w:r>
      <w:r>
        <w:rPr>
          <w:b/>
          <w:i/>
        </w:rPr>
        <w:t>” and “</w:t>
      </w:r>
      <w:r w:rsidRPr="00B832CC">
        <w:rPr>
          <w:b/>
          <w:i/>
        </w:rPr>
        <w:t>FWA/CPE/Vehicle/Industrial devices form factor</w:t>
      </w:r>
      <w:r>
        <w:rPr>
          <w:b/>
          <w:i/>
        </w:rPr>
        <w:t>” have identical interpretation from RF requirement perspective.</w:t>
      </w:r>
    </w:p>
    <w:p w14:paraId="60BC6D33" w14:textId="77777777" w:rsidR="00D94233" w:rsidRDefault="00D94233" w:rsidP="00D94233">
      <w:pPr>
        <w:jc w:val="both"/>
        <w:rPr>
          <w:b/>
          <w:i/>
        </w:rPr>
      </w:pPr>
      <w:r>
        <w:rPr>
          <w:b/>
          <w:i/>
        </w:rPr>
        <w:t>Proposal 2: RAN4 considers following two alternatives for better specification clarity.</w:t>
      </w:r>
    </w:p>
    <w:p w14:paraId="37B6212F" w14:textId="77777777" w:rsidR="00D94233" w:rsidRPr="00D94233" w:rsidRDefault="00D94233" w:rsidP="00667898">
      <w:pPr>
        <w:pStyle w:val="aff6"/>
        <w:numPr>
          <w:ilvl w:val="0"/>
          <w:numId w:val="15"/>
        </w:numPr>
        <w:ind w:firstLineChars="0"/>
        <w:rPr>
          <w:rFonts w:ascii="Times New Roman" w:hAnsi="Times New Roman"/>
          <w:b/>
          <w:i/>
          <w:kern w:val="0"/>
          <w:sz w:val="20"/>
          <w:szCs w:val="20"/>
          <w:lang w:val="en-GB" w:eastAsia="zh-CN"/>
        </w:rPr>
      </w:pPr>
      <w:r w:rsidRPr="00D94233">
        <w:rPr>
          <w:rFonts w:ascii="Times New Roman" w:hAnsi="Times New Roman"/>
          <w:b/>
          <w:i/>
          <w:kern w:val="0"/>
          <w:sz w:val="20"/>
          <w:szCs w:val="20"/>
          <w:lang w:val="en-GB" w:eastAsia="zh-CN"/>
        </w:rPr>
        <w:t xml:space="preserve">Alt 1. Unify the wording as “FWA form factor” if no disagreement. </w:t>
      </w:r>
    </w:p>
    <w:p w14:paraId="6123D1E0" w14:textId="77777777" w:rsidR="00D94233" w:rsidRPr="00D94233" w:rsidRDefault="00D94233" w:rsidP="00667898">
      <w:pPr>
        <w:pStyle w:val="aff6"/>
        <w:numPr>
          <w:ilvl w:val="0"/>
          <w:numId w:val="15"/>
        </w:numPr>
        <w:ind w:firstLineChars="0"/>
        <w:rPr>
          <w:rFonts w:ascii="Times New Roman" w:hAnsi="Times New Roman"/>
          <w:b/>
          <w:i/>
          <w:kern w:val="0"/>
          <w:sz w:val="20"/>
          <w:szCs w:val="20"/>
          <w:lang w:val="en-GB" w:eastAsia="zh-CN"/>
        </w:rPr>
      </w:pPr>
      <w:r w:rsidRPr="00D94233">
        <w:rPr>
          <w:rFonts w:ascii="Times New Roman" w:hAnsi="Times New Roman"/>
          <w:b/>
          <w:i/>
          <w:kern w:val="0"/>
          <w:sz w:val="20"/>
          <w:szCs w:val="20"/>
          <w:lang w:val="en-GB" w:eastAsia="zh-CN"/>
        </w:rPr>
        <w:t xml:space="preserve">Alt 2. No need to unify the spec language but reproduce the definition of CPE from LTE spec.  </w:t>
      </w:r>
    </w:p>
    <w:p w14:paraId="36377B5B" w14:textId="77777777" w:rsidR="00D94233" w:rsidRPr="00B832CC" w:rsidRDefault="00D94233" w:rsidP="00667898">
      <w:pPr>
        <w:pStyle w:val="aff6"/>
        <w:numPr>
          <w:ilvl w:val="0"/>
          <w:numId w:val="1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CPE, </w:t>
      </w:r>
      <w:r w:rsidRPr="00B832CC">
        <w:rPr>
          <w:rFonts w:ascii="Times New Roman" w:hAnsi="Times New Roman"/>
          <w:b/>
          <w:i/>
          <w:kern w:val="0"/>
          <w:sz w:val="20"/>
          <w:szCs w:val="20"/>
          <w:lang w:val="en-GB" w:eastAsia="zh-CN"/>
        </w:rPr>
        <w:t>Customer Premises Equipment</w:t>
      </w:r>
      <w:r>
        <w:rPr>
          <w:rFonts w:ascii="Times New Roman" w:hAnsi="Times New Roman"/>
          <w:b/>
          <w:i/>
          <w:kern w:val="0"/>
          <w:sz w:val="20"/>
          <w:szCs w:val="20"/>
          <w:lang w:val="en-GB" w:eastAsia="zh-CN"/>
        </w:rPr>
        <w:t>.</w:t>
      </w:r>
      <w:r w:rsidRPr="00B832CC">
        <w:rPr>
          <w:rFonts w:ascii="Times New Roman" w:hAnsi="Times New Roman"/>
          <w:b/>
          <w:i/>
          <w:kern w:val="0"/>
          <w:sz w:val="20"/>
          <w:szCs w:val="20"/>
          <w:lang w:val="en-GB" w:eastAsia="zh-CN"/>
        </w:rPr>
        <w:t xml:space="preserve"> </w:t>
      </w:r>
    </w:p>
    <w:p w14:paraId="09842B01" w14:textId="77777777" w:rsidR="00D94233" w:rsidRDefault="00D94233" w:rsidP="00D94233">
      <w:pPr>
        <w:jc w:val="both"/>
      </w:pPr>
      <w:r>
        <w:rPr>
          <w:b/>
          <w:i/>
        </w:rPr>
        <w:t xml:space="preserve">  </w:t>
      </w:r>
    </w:p>
    <w:p w14:paraId="57449778" w14:textId="00876833" w:rsidR="0035163A" w:rsidRPr="005C314A" w:rsidRDefault="005C314A" w:rsidP="005C314A">
      <w:pPr>
        <w:jc w:val="both"/>
      </w:pPr>
      <w:r>
        <w:rPr>
          <w:b/>
          <w:i/>
        </w:rPr>
        <w:t xml:space="preserve">  </w:t>
      </w:r>
    </w:p>
    <w:p w14:paraId="6E4DEA30" w14:textId="77777777" w:rsidR="00B22DA6" w:rsidRDefault="00B22DA6" w:rsidP="00B22DA6">
      <w:pPr>
        <w:pStyle w:val="1"/>
        <w:numPr>
          <w:ilvl w:val="0"/>
          <w:numId w:val="0"/>
        </w:numPr>
        <w:rPr>
          <w:rFonts w:eastAsia="宋体"/>
          <w:lang w:eastAsia="zh-CN"/>
        </w:rPr>
      </w:pPr>
      <w:r>
        <w:t>References</w:t>
      </w:r>
    </w:p>
    <w:p w14:paraId="169C776E" w14:textId="2420A20C" w:rsidR="0067071C" w:rsidRPr="002620CA" w:rsidRDefault="00A67B57" w:rsidP="002620CA">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005A46E4">
        <w:t>250</w:t>
      </w:r>
      <w:r w:rsidR="00032251">
        <w:t>5101</w:t>
      </w:r>
      <w:r w:rsidR="00D10227">
        <w:t xml:space="preserve">, </w:t>
      </w:r>
      <w:r w:rsidR="00D10227" w:rsidRPr="001D14BB">
        <w:t>“</w:t>
      </w:r>
      <w:r w:rsidR="00032251" w:rsidRPr="00032251">
        <w:t>WF on 6Rx RF requirements and SRS IL imbalance</w:t>
      </w:r>
      <w:r w:rsidR="00D10227" w:rsidRPr="001D14BB">
        <w:t xml:space="preserve">”, </w:t>
      </w:r>
      <w:r w:rsidR="00032251">
        <w:t>Intel</w:t>
      </w:r>
      <w:r w:rsidR="00D10227" w:rsidRPr="001D14BB">
        <w:t>, 3GPP TSG-RAN</w:t>
      </w:r>
      <w:r w:rsidR="00D10227">
        <w:t>4</w:t>
      </w:r>
      <w:r w:rsidR="00D10227" w:rsidRPr="001D14BB">
        <w:t xml:space="preserve"> Meeting #1</w:t>
      </w:r>
      <w:r w:rsidR="00D10227">
        <w:t>1</w:t>
      </w:r>
      <w:r w:rsidR="005A46E4">
        <w:t>4</w:t>
      </w:r>
      <w:r w:rsidR="00032251">
        <w:t>bis</w:t>
      </w:r>
      <w:r w:rsidR="00D10227" w:rsidRPr="001D14BB">
        <w:t>,</w:t>
      </w:r>
      <w:r w:rsidR="00D10227" w:rsidRPr="00B44AAC">
        <w:t xml:space="preserve"> </w:t>
      </w:r>
      <w:r w:rsidR="00032251">
        <w:t>Wuhan, China</w:t>
      </w:r>
      <w:r w:rsidR="00D10227">
        <w:t>,</w:t>
      </w:r>
      <w:r w:rsidR="00D10227" w:rsidRPr="001D14BB">
        <w:t xml:space="preserve"> </w:t>
      </w:r>
      <w:r w:rsidR="00032251">
        <w:t>April 7-1</w:t>
      </w:r>
      <w:r w:rsidR="005A46E4">
        <w:t>1</w:t>
      </w:r>
      <w:r w:rsidR="00D10227" w:rsidRPr="001D14BB">
        <w:t>, 202</w:t>
      </w:r>
      <w:r w:rsidR="005A46E4">
        <w:t>5</w:t>
      </w:r>
      <w:r>
        <w:t>.</w:t>
      </w:r>
      <w:r w:rsidR="00796C4E">
        <w:t xml:space="preserve"> </w:t>
      </w:r>
    </w:p>
    <w:sectPr w:rsidR="0067071C" w:rsidRPr="002620C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B07C4" w14:textId="77777777" w:rsidR="00487DC5" w:rsidRDefault="00487DC5" w:rsidP="0052762B">
      <w:r>
        <w:separator/>
      </w:r>
    </w:p>
  </w:endnote>
  <w:endnote w:type="continuationSeparator" w:id="0">
    <w:p w14:paraId="7BDDE491" w14:textId="77777777" w:rsidR="00487DC5" w:rsidRDefault="00487DC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9A651" w14:textId="77777777" w:rsidR="00487DC5" w:rsidRDefault="00487DC5" w:rsidP="0052762B">
      <w:r>
        <w:separator/>
      </w:r>
    </w:p>
  </w:footnote>
  <w:footnote w:type="continuationSeparator" w:id="0">
    <w:p w14:paraId="307DC923" w14:textId="77777777" w:rsidR="00487DC5" w:rsidRDefault="00487DC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65C9A"/>
    <w:multiLevelType w:val="hybridMultilevel"/>
    <w:tmpl w:val="10469B66"/>
    <w:lvl w:ilvl="0" w:tplc="013C9AB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B585ED2"/>
    <w:multiLevelType w:val="hybridMultilevel"/>
    <w:tmpl w:val="DD685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4665F0"/>
    <w:multiLevelType w:val="hybridMultilevel"/>
    <w:tmpl w:val="F44000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5"/>
  </w:num>
  <w:num w:numId="3">
    <w:abstractNumId w:val="6"/>
  </w:num>
  <w:num w:numId="4">
    <w:abstractNumId w:val="12"/>
  </w:num>
  <w:num w:numId="5">
    <w:abstractNumId w:val="11"/>
  </w:num>
  <w:num w:numId="6">
    <w:abstractNumId w:val="4"/>
  </w:num>
  <w:num w:numId="7">
    <w:abstractNumId w:val="9"/>
  </w:num>
  <w:num w:numId="8">
    <w:abstractNumId w:val="14"/>
  </w:num>
  <w:num w:numId="9">
    <w:abstractNumId w:val="3"/>
  </w:num>
  <w:num w:numId="10">
    <w:abstractNumId w:val="1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7"/>
  </w:num>
  <w:num w:numId="14">
    <w:abstractNumId w:val="10"/>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D9F"/>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251"/>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7"/>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87F"/>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908"/>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1E64"/>
    <w:rsid w:val="000A244A"/>
    <w:rsid w:val="000A2529"/>
    <w:rsid w:val="000A3647"/>
    <w:rsid w:val="000A3954"/>
    <w:rsid w:val="000A471D"/>
    <w:rsid w:val="000A5151"/>
    <w:rsid w:val="000A51A6"/>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71C1"/>
    <w:rsid w:val="00117964"/>
    <w:rsid w:val="00120BBB"/>
    <w:rsid w:val="0012120A"/>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2FF"/>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198"/>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55C9"/>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3F74"/>
    <w:rsid w:val="001B4001"/>
    <w:rsid w:val="001B4333"/>
    <w:rsid w:val="001B437A"/>
    <w:rsid w:val="001B4EBA"/>
    <w:rsid w:val="001B4F8C"/>
    <w:rsid w:val="001B5A5B"/>
    <w:rsid w:val="001B659B"/>
    <w:rsid w:val="001B6637"/>
    <w:rsid w:val="001B6CAC"/>
    <w:rsid w:val="001B7033"/>
    <w:rsid w:val="001B708E"/>
    <w:rsid w:val="001B72DC"/>
    <w:rsid w:val="001B7B80"/>
    <w:rsid w:val="001C0D1E"/>
    <w:rsid w:val="001C0F6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0FF7"/>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EC"/>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C7"/>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095E"/>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9E0"/>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0CA"/>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3DDF"/>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0B50"/>
    <w:rsid w:val="002F1109"/>
    <w:rsid w:val="002F11AB"/>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BC8"/>
    <w:rsid w:val="00340EBF"/>
    <w:rsid w:val="00341088"/>
    <w:rsid w:val="00341294"/>
    <w:rsid w:val="00341ADA"/>
    <w:rsid w:val="00342538"/>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63A"/>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5FE5"/>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1F0E"/>
    <w:rsid w:val="004029DE"/>
    <w:rsid w:val="00402FA2"/>
    <w:rsid w:val="004033F6"/>
    <w:rsid w:val="0040356F"/>
    <w:rsid w:val="004035EE"/>
    <w:rsid w:val="0040416A"/>
    <w:rsid w:val="00405597"/>
    <w:rsid w:val="004061CC"/>
    <w:rsid w:val="00406346"/>
    <w:rsid w:val="00406483"/>
    <w:rsid w:val="004065E5"/>
    <w:rsid w:val="00406A79"/>
    <w:rsid w:val="004071C1"/>
    <w:rsid w:val="004078CB"/>
    <w:rsid w:val="00407F56"/>
    <w:rsid w:val="00407F6B"/>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66D3"/>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8D6"/>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87DC5"/>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A75"/>
    <w:rsid w:val="00495E61"/>
    <w:rsid w:val="00495EEF"/>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6FAB"/>
    <w:rsid w:val="004A72C0"/>
    <w:rsid w:val="004A77EE"/>
    <w:rsid w:val="004A7B8A"/>
    <w:rsid w:val="004B01C9"/>
    <w:rsid w:val="004B1249"/>
    <w:rsid w:val="004B170F"/>
    <w:rsid w:val="004B1A12"/>
    <w:rsid w:val="004B1D2E"/>
    <w:rsid w:val="004B1EEB"/>
    <w:rsid w:val="004B1FE9"/>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23CC"/>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5F53"/>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07BD5"/>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1A2"/>
    <w:rsid w:val="0052250B"/>
    <w:rsid w:val="00522599"/>
    <w:rsid w:val="005228BA"/>
    <w:rsid w:val="00522C81"/>
    <w:rsid w:val="005236DC"/>
    <w:rsid w:val="0052439D"/>
    <w:rsid w:val="0052471B"/>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D7C"/>
    <w:rsid w:val="005605C2"/>
    <w:rsid w:val="00560927"/>
    <w:rsid w:val="00560B9E"/>
    <w:rsid w:val="00560D25"/>
    <w:rsid w:val="00561031"/>
    <w:rsid w:val="005610D2"/>
    <w:rsid w:val="005626F7"/>
    <w:rsid w:val="00562CB2"/>
    <w:rsid w:val="00562EDA"/>
    <w:rsid w:val="00563A91"/>
    <w:rsid w:val="00563E2C"/>
    <w:rsid w:val="00564486"/>
    <w:rsid w:val="00564E62"/>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860"/>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6BD"/>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1D9C"/>
    <w:rsid w:val="005A2454"/>
    <w:rsid w:val="005A2A9B"/>
    <w:rsid w:val="005A3751"/>
    <w:rsid w:val="005A3CCD"/>
    <w:rsid w:val="005A41E4"/>
    <w:rsid w:val="005A46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4A"/>
    <w:rsid w:val="005C319B"/>
    <w:rsid w:val="005C335F"/>
    <w:rsid w:val="005C3A2E"/>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017"/>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02"/>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6C0A"/>
    <w:rsid w:val="00617106"/>
    <w:rsid w:val="006173C6"/>
    <w:rsid w:val="00617417"/>
    <w:rsid w:val="00617546"/>
    <w:rsid w:val="00617675"/>
    <w:rsid w:val="006177D1"/>
    <w:rsid w:val="006179DE"/>
    <w:rsid w:val="00620221"/>
    <w:rsid w:val="00620799"/>
    <w:rsid w:val="0062093A"/>
    <w:rsid w:val="00620EBF"/>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214"/>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898"/>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4F6"/>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978BF"/>
    <w:rsid w:val="006A0455"/>
    <w:rsid w:val="006A0685"/>
    <w:rsid w:val="006A09D7"/>
    <w:rsid w:val="006A0CB5"/>
    <w:rsid w:val="006A0D71"/>
    <w:rsid w:val="006A15DE"/>
    <w:rsid w:val="006A1830"/>
    <w:rsid w:val="006A3056"/>
    <w:rsid w:val="006A35BD"/>
    <w:rsid w:val="006A369C"/>
    <w:rsid w:val="006A3874"/>
    <w:rsid w:val="006A395C"/>
    <w:rsid w:val="006A3AB6"/>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AEB"/>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7C5"/>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6A3"/>
    <w:rsid w:val="00740A38"/>
    <w:rsid w:val="0074168D"/>
    <w:rsid w:val="007417B3"/>
    <w:rsid w:val="00741DAA"/>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08"/>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6FC4"/>
    <w:rsid w:val="007605E9"/>
    <w:rsid w:val="00760C9D"/>
    <w:rsid w:val="00760DC5"/>
    <w:rsid w:val="00761449"/>
    <w:rsid w:val="007619AD"/>
    <w:rsid w:val="00761BA6"/>
    <w:rsid w:val="00761CDA"/>
    <w:rsid w:val="00761F36"/>
    <w:rsid w:val="00763608"/>
    <w:rsid w:val="00764778"/>
    <w:rsid w:val="007648BD"/>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4FC4"/>
    <w:rsid w:val="00775C1B"/>
    <w:rsid w:val="0077600D"/>
    <w:rsid w:val="007762BA"/>
    <w:rsid w:val="0077704B"/>
    <w:rsid w:val="007773C4"/>
    <w:rsid w:val="00780611"/>
    <w:rsid w:val="00780A72"/>
    <w:rsid w:val="007810AF"/>
    <w:rsid w:val="00781A73"/>
    <w:rsid w:val="007832CA"/>
    <w:rsid w:val="0078348D"/>
    <w:rsid w:val="007848B7"/>
    <w:rsid w:val="007857D8"/>
    <w:rsid w:val="00785E1C"/>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5265"/>
    <w:rsid w:val="007B692F"/>
    <w:rsid w:val="007B6D9A"/>
    <w:rsid w:val="007B74A3"/>
    <w:rsid w:val="007B75FE"/>
    <w:rsid w:val="007B7688"/>
    <w:rsid w:val="007B7756"/>
    <w:rsid w:val="007B7A34"/>
    <w:rsid w:val="007B7C0F"/>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D3D"/>
    <w:rsid w:val="007E2FD9"/>
    <w:rsid w:val="007E34E3"/>
    <w:rsid w:val="007E3DB5"/>
    <w:rsid w:val="007E3ED4"/>
    <w:rsid w:val="007E4FEC"/>
    <w:rsid w:val="007E52F4"/>
    <w:rsid w:val="007E5F5F"/>
    <w:rsid w:val="007E639E"/>
    <w:rsid w:val="007E6411"/>
    <w:rsid w:val="007E66C3"/>
    <w:rsid w:val="007E6CAD"/>
    <w:rsid w:val="007E6E66"/>
    <w:rsid w:val="007E7153"/>
    <w:rsid w:val="007E777D"/>
    <w:rsid w:val="007E7858"/>
    <w:rsid w:val="007E7B7D"/>
    <w:rsid w:val="007E7ED5"/>
    <w:rsid w:val="007F0000"/>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0D79"/>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A36"/>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56EA"/>
    <w:rsid w:val="008463F6"/>
    <w:rsid w:val="00846625"/>
    <w:rsid w:val="00846DE8"/>
    <w:rsid w:val="00846F5F"/>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609"/>
    <w:rsid w:val="00875966"/>
    <w:rsid w:val="0087626A"/>
    <w:rsid w:val="00876456"/>
    <w:rsid w:val="00876A06"/>
    <w:rsid w:val="00877199"/>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1D9F"/>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0BAD"/>
    <w:rsid w:val="008F118B"/>
    <w:rsid w:val="008F1B8B"/>
    <w:rsid w:val="008F21B4"/>
    <w:rsid w:val="008F2F6B"/>
    <w:rsid w:val="008F2F81"/>
    <w:rsid w:val="008F353C"/>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115"/>
    <w:rsid w:val="0092144F"/>
    <w:rsid w:val="00921DE6"/>
    <w:rsid w:val="009231BB"/>
    <w:rsid w:val="0092342A"/>
    <w:rsid w:val="009234A6"/>
    <w:rsid w:val="0092372E"/>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066"/>
    <w:rsid w:val="00937269"/>
    <w:rsid w:val="00937912"/>
    <w:rsid w:val="00937D62"/>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1B0"/>
    <w:rsid w:val="009A5201"/>
    <w:rsid w:val="009A70B3"/>
    <w:rsid w:val="009A780E"/>
    <w:rsid w:val="009A78F4"/>
    <w:rsid w:val="009B097E"/>
    <w:rsid w:val="009B0E52"/>
    <w:rsid w:val="009B1168"/>
    <w:rsid w:val="009B16F2"/>
    <w:rsid w:val="009B1A96"/>
    <w:rsid w:val="009B2AA6"/>
    <w:rsid w:val="009B2B6E"/>
    <w:rsid w:val="009B348C"/>
    <w:rsid w:val="009B36B5"/>
    <w:rsid w:val="009B3A6D"/>
    <w:rsid w:val="009B3B4E"/>
    <w:rsid w:val="009B4262"/>
    <w:rsid w:val="009B43B6"/>
    <w:rsid w:val="009B43EC"/>
    <w:rsid w:val="009B4AC0"/>
    <w:rsid w:val="009B6091"/>
    <w:rsid w:val="009B65D0"/>
    <w:rsid w:val="009B6AAF"/>
    <w:rsid w:val="009B6D20"/>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8"/>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BA8"/>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6D0B"/>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E1E"/>
    <w:rsid w:val="00A47F57"/>
    <w:rsid w:val="00A50141"/>
    <w:rsid w:val="00A50373"/>
    <w:rsid w:val="00A503C5"/>
    <w:rsid w:val="00A50486"/>
    <w:rsid w:val="00A50530"/>
    <w:rsid w:val="00A50C8D"/>
    <w:rsid w:val="00A51194"/>
    <w:rsid w:val="00A5144B"/>
    <w:rsid w:val="00A51B4A"/>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67B57"/>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1E30"/>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CAB"/>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653"/>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2CC"/>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BB"/>
    <w:rsid w:val="00B924E1"/>
    <w:rsid w:val="00B925D4"/>
    <w:rsid w:val="00B927A3"/>
    <w:rsid w:val="00B92BBC"/>
    <w:rsid w:val="00B93934"/>
    <w:rsid w:val="00B93D50"/>
    <w:rsid w:val="00B94204"/>
    <w:rsid w:val="00B9429D"/>
    <w:rsid w:val="00B94917"/>
    <w:rsid w:val="00B958D8"/>
    <w:rsid w:val="00B95E0B"/>
    <w:rsid w:val="00B9616F"/>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176"/>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5FA3"/>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AB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17C"/>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339"/>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CA1"/>
    <w:rsid w:val="00C82413"/>
    <w:rsid w:val="00C82447"/>
    <w:rsid w:val="00C82611"/>
    <w:rsid w:val="00C82905"/>
    <w:rsid w:val="00C8299C"/>
    <w:rsid w:val="00C83033"/>
    <w:rsid w:val="00C836DF"/>
    <w:rsid w:val="00C83C22"/>
    <w:rsid w:val="00C844F7"/>
    <w:rsid w:val="00C8476C"/>
    <w:rsid w:val="00C85254"/>
    <w:rsid w:val="00C854F5"/>
    <w:rsid w:val="00C85816"/>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9B8"/>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46"/>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00F"/>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797"/>
    <w:rsid w:val="00D07F63"/>
    <w:rsid w:val="00D1014E"/>
    <w:rsid w:val="00D1020D"/>
    <w:rsid w:val="00D10227"/>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55D"/>
    <w:rsid w:val="00D2499A"/>
    <w:rsid w:val="00D24BAD"/>
    <w:rsid w:val="00D24C77"/>
    <w:rsid w:val="00D25656"/>
    <w:rsid w:val="00D26A8F"/>
    <w:rsid w:val="00D26E94"/>
    <w:rsid w:val="00D27340"/>
    <w:rsid w:val="00D27426"/>
    <w:rsid w:val="00D27CE9"/>
    <w:rsid w:val="00D30182"/>
    <w:rsid w:val="00D302B5"/>
    <w:rsid w:val="00D30308"/>
    <w:rsid w:val="00D3085D"/>
    <w:rsid w:val="00D308B9"/>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17D"/>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0F80"/>
    <w:rsid w:val="00D610C6"/>
    <w:rsid w:val="00D61428"/>
    <w:rsid w:val="00D61673"/>
    <w:rsid w:val="00D617EB"/>
    <w:rsid w:val="00D61A0B"/>
    <w:rsid w:val="00D61DCC"/>
    <w:rsid w:val="00D628A0"/>
    <w:rsid w:val="00D62DB6"/>
    <w:rsid w:val="00D6342C"/>
    <w:rsid w:val="00D63556"/>
    <w:rsid w:val="00D63FD8"/>
    <w:rsid w:val="00D6487E"/>
    <w:rsid w:val="00D64982"/>
    <w:rsid w:val="00D64FF8"/>
    <w:rsid w:val="00D65443"/>
    <w:rsid w:val="00D65507"/>
    <w:rsid w:val="00D65ADB"/>
    <w:rsid w:val="00D665E5"/>
    <w:rsid w:val="00D666A6"/>
    <w:rsid w:val="00D6782A"/>
    <w:rsid w:val="00D67F3C"/>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184B"/>
    <w:rsid w:val="00D9370A"/>
    <w:rsid w:val="00D93758"/>
    <w:rsid w:val="00D94233"/>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446"/>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7E5"/>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3A0"/>
    <w:rsid w:val="00DE581C"/>
    <w:rsid w:val="00DE6FAD"/>
    <w:rsid w:val="00DE745F"/>
    <w:rsid w:val="00DE753A"/>
    <w:rsid w:val="00DE79AB"/>
    <w:rsid w:val="00DF05B1"/>
    <w:rsid w:val="00DF05DC"/>
    <w:rsid w:val="00DF06C8"/>
    <w:rsid w:val="00DF0772"/>
    <w:rsid w:val="00DF089D"/>
    <w:rsid w:val="00DF0C82"/>
    <w:rsid w:val="00DF0DD7"/>
    <w:rsid w:val="00DF0E27"/>
    <w:rsid w:val="00DF22F2"/>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1FC0"/>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67E"/>
    <w:rsid w:val="00E346A1"/>
    <w:rsid w:val="00E3482C"/>
    <w:rsid w:val="00E34A05"/>
    <w:rsid w:val="00E35B58"/>
    <w:rsid w:val="00E360E7"/>
    <w:rsid w:val="00E36478"/>
    <w:rsid w:val="00E368E0"/>
    <w:rsid w:val="00E36908"/>
    <w:rsid w:val="00E379ED"/>
    <w:rsid w:val="00E37C84"/>
    <w:rsid w:val="00E402A1"/>
    <w:rsid w:val="00E40AA3"/>
    <w:rsid w:val="00E413E3"/>
    <w:rsid w:val="00E419F3"/>
    <w:rsid w:val="00E41CA2"/>
    <w:rsid w:val="00E425EE"/>
    <w:rsid w:val="00E42B33"/>
    <w:rsid w:val="00E42C21"/>
    <w:rsid w:val="00E43209"/>
    <w:rsid w:val="00E43388"/>
    <w:rsid w:val="00E437D2"/>
    <w:rsid w:val="00E43942"/>
    <w:rsid w:val="00E43CCD"/>
    <w:rsid w:val="00E43E1E"/>
    <w:rsid w:val="00E44258"/>
    <w:rsid w:val="00E442C5"/>
    <w:rsid w:val="00E443A8"/>
    <w:rsid w:val="00E444A6"/>
    <w:rsid w:val="00E44792"/>
    <w:rsid w:val="00E44AE0"/>
    <w:rsid w:val="00E44BCB"/>
    <w:rsid w:val="00E450BC"/>
    <w:rsid w:val="00E4572F"/>
    <w:rsid w:val="00E457B0"/>
    <w:rsid w:val="00E46D16"/>
    <w:rsid w:val="00E47931"/>
    <w:rsid w:val="00E47AEF"/>
    <w:rsid w:val="00E47EB2"/>
    <w:rsid w:val="00E47FAF"/>
    <w:rsid w:val="00E5030A"/>
    <w:rsid w:val="00E50859"/>
    <w:rsid w:val="00E51C99"/>
    <w:rsid w:val="00E51D2D"/>
    <w:rsid w:val="00E51FFD"/>
    <w:rsid w:val="00E5200D"/>
    <w:rsid w:val="00E527AA"/>
    <w:rsid w:val="00E52906"/>
    <w:rsid w:val="00E532A6"/>
    <w:rsid w:val="00E5447B"/>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871"/>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3C4E"/>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BC5"/>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2D"/>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23A"/>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0F"/>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1A96C-A0C7-474C-8E51-FC59EB683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5190</TotalTime>
  <Pages>2</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3489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238</cp:revision>
  <cp:lastPrinted>2010-01-07T02:23:00Z</cp:lastPrinted>
  <dcterms:created xsi:type="dcterms:W3CDTF">2024-04-07T12:55:00Z</dcterms:created>
  <dcterms:modified xsi:type="dcterms:W3CDTF">2025-05-09T13:49:00Z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(3)TX/SsotTMCOA/fOzgmHl1udUrfpwHak22Mg+JmDUH4ogMvOeRls1y00EsXPSjcxt3inukyRG
63/V9+RVLm62WeolZRbuOP69Wo1/otHouDBK1W0AO1TW+vXDXUlY4+DFDIuMuyoDNL5WT+Iu
t0H3zF8qY71Q7qPGgno+igNxJjw+FwVJCQIphf912OsGp+j+feahTAV9CPWh1Sq6XV4wBYvY
FecC0kodDBI8DhQ8Ff</vt:lpwstr>
  </property>
  <property fmtid="{D5CDD505-2E9C-101B-9397-08002B2CF9AE}" pid="15" name="_2015_ms_pID_725343_00">
    <vt:lpwstr>_2015_ms_pID_725343</vt:lpwstr>
  </property>
  <property fmtid="{D5CDD505-2E9C-101B-9397-08002B2CF9AE}" pid="16" name="_2015_ms_pID_7253431">
    <vt:lpwstr>mdTPDPQSHxnkHaUc2HRNOEVSUIQUVa33jmpFVtsm4sGGA7O6djXmtd
06yVWTPard++vrGeta4tHxsGAWipcmzzAMg7M2CV7qD/NGZ/IwnI0VuExCLrT1nbOEetK1Dw
rGn3M7+5QbFnliKTNZiPVkBcyFwK3zg2Fz2wce1bEDP4RMFiWyDeBVEb8rtWusGCEvH/Yq8k
yqmChyVl/K83OGJc7ny/js6BtVMPpC0X6uXT</vt:lpwstr>
  </property>
  <property fmtid="{D5CDD505-2E9C-101B-9397-08002B2CF9AE}" pid="17" name="_2015_ms_pID_7253431_00">
    <vt:lpwstr>_2015_ms_pID_7253431</vt:lpwstr>
  </property>
  <property fmtid="{D5CDD505-2E9C-101B-9397-08002B2CF9AE}" pid="18" name="_2015_ms_pID_7253432">
    <vt:lpwstr>5A==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1746496923</vt:lpwstr>
  </property>
</Properties>
</file>